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954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Сабурова Алексея Николаевича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Сабуров А.Н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586240131021899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Сабуров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Сабуров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Сабуров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Сабуров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Сабурова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Алексея Николаевича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0412365400285009542420178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